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A5130F">
        <w:rPr>
          <w:sz w:val="20"/>
          <w:szCs w:val="20"/>
        </w:rPr>
        <w:t>1042 от «21</w:t>
      </w:r>
      <w:r w:rsidRPr="00FC565C">
        <w:rPr>
          <w:sz w:val="20"/>
          <w:szCs w:val="20"/>
        </w:rPr>
        <w:t>»</w:t>
      </w:r>
      <w:r w:rsidR="00F338DC">
        <w:rPr>
          <w:sz w:val="20"/>
          <w:szCs w:val="20"/>
        </w:rPr>
        <w:t xml:space="preserve"> </w:t>
      </w:r>
      <w:r w:rsidR="00A5130F">
        <w:rPr>
          <w:sz w:val="20"/>
          <w:szCs w:val="20"/>
        </w:rPr>
        <w:t>мая</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имущества</w:t>
      </w:r>
      <w:r w:rsidR="00735102">
        <w:rPr>
          <w:b/>
          <w:sz w:val="28"/>
          <w:szCs w:val="28"/>
        </w:rPr>
        <w:t>-</w:t>
      </w:r>
      <w:r w:rsidRPr="00457402">
        <w:rPr>
          <w:b/>
          <w:sz w:val="28"/>
          <w:szCs w:val="28"/>
        </w:rPr>
        <w:t xml:space="preserve"> </w:t>
      </w:r>
      <w:r w:rsidR="00BB776E">
        <w:rPr>
          <w:b/>
          <w:sz w:val="28"/>
          <w:szCs w:val="28"/>
        </w:rPr>
        <w:t xml:space="preserve">нежилое </w:t>
      </w:r>
      <w:r w:rsidR="00B408BF">
        <w:rPr>
          <w:b/>
          <w:sz w:val="28"/>
          <w:szCs w:val="28"/>
        </w:rPr>
        <w:t>здание</w:t>
      </w:r>
      <w:r w:rsidR="00BA630F">
        <w:rPr>
          <w:b/>
          <w:sz w:val="28"/>
          <w:szCs w:val="28"/>
        </w:rPr>
        <w:t xml:space="preserve"> </w:t>
      </w:r>
      <w:r w:rsidR="00BA0E41">
        <w:rPr>
          <w:b/>
          <w:sz w:val="28"/>
          <w:szCs w:val="28"/>
        </w:rPr>
        <w:t xml:space="preserve"> </w:t>
      </w:r>
      <w:r w:rsidR="00772E56">
        <w:rPr>
          <w:b/>
          <w:sz w:val="28"/>
          <w:szCs w:val="28"/>
        </w:rPr>
        <w:t xml:space="preserve"> </w:t>
      </w:r>
      <w:r w:rsidR="00BA0E41">
        <w:rPr>
          <w:b/>
          <w:sz w:val="28"/>
          <w:szCs w:val="28"/>
        </w:rPr>
        <w:t xml:space="preserve">площадью </w:t>
      </w:r>
      <w:r w:rsidR="00085EB2">
        <w:rPr>
          <w:b/>
          <w:sz w:val="28"/>
          <w:szCs w:val="28"/>
        </w:rPr>
        <w:t>67,2</w:t>
      </w:r>
      <w:r w:rsidR="00BA0E41">
        <w:rPr>
          <w:b/>
          <w:sz w:val="28"/>
          <w:szCs w:val="28"/>
        </w:rPr>
        <w:t xml:space="preserve"> кв.м</w:t>
      </w:r>
      <w:r w:rsidRPr="00457402">
        <w:rPr>
          <w:b/>
          <w:sz w:val="28"/>
          <w:szCs w:val="28"/>
        </w:rPr>
        <w:t>, с кадастровым номером 74:21:</w:t>
      </w:r>
      <w:r w:rsidR="00B408BF">
        <w:rPr>
          <w:b/>
          <w:sz w:val="28"/>
          <w:szCs w:val="28"/>
        </w:rPr>
        <w:t>1302003</w:t>
      </w:r>
      <w:r w:rsidRPr="00457402">
        <w:rPr>
          <w:b/>
          <w:sz w:val="28"/>
          <w:szCs w:val="28"/>
        </w:rPr>
        <w:t>:</w:t>
      </w:r>
      <w:r w:rsidR="00B408BF">
        <w:rPr>
          <w:b/>
          <w:sz w:val="28"/>
          <w:szCs w:val="28"/>
        </w:rPr>
        <w:t>3</w:t>
      </w:r>
      <w:r w:rsidR="00085EB2">
        <w:rPr>
          <w:b/>
          <w:sz w:val="28"/>
          <w:szCs w:val="28"/>
        </w:rPr>
        <w:t>3</w:t>
      </w:r>
      <w:r w:rsidRPr="00457402">
        <w:rPr>
          <w:b/>
          <w:sz w:val="28"/>
          <w:szCs w:val="28"/>
        </w:rPr>
        <w:t xml:space="preserve">, </w:t>
      </w:r>
      <w:r w:rsidR="00B408BF">
        <w:rPr>
          <w:b/>
          <w:sz w:val="28"/>
          <w:szCs w:val="28"/>
        </w:rPr>
        <w:t xml:space="preserve">, </w:t>
      </w:r>
      <w:r w:rsidRPr="00457402">
        <w:rPr>
          <w:b/>
          <w:sz w:val="28"/>
          <w:szCs w:val="28"/>
        </w:rPr>
        <w:t>расположенн</w:t>
      </w:r>
      <w:r w:rsidR="00085EB2">
        <w:rPr>
          <w:b/>
          <w:sz w:val="28"/>
          <w:szCs w:val="28"/>
        </w:rPr>
        <w:t>ое</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085EB2">
        <w:rPr>
          <w:b/>
          <w:sz w:val="28"/>
          <w:szCs w:val="28"/>
        </w:rPr>
        <w:t>160</w:t>
      </w:r>
      <w:r w:rsidR="00B33065">
        <w:rPr>
          <w:b/>
          <w:sz w:val="28"/>
          <w:szCs w:val="28"/>
        </w:rPr>
        <w:t xml:space="preserve">  кв. м  </w:t>
      </w:r>
      <w:r w:rsidR="009F56CA">
        <w:rPr>
          <w:b/>
          <w:sz w:val="28"/>
          <w:szCs w:val="28"/>
        </w:rPr>
        <w:t>с кадастровым номером 74:21:1</w:t>
      </w:r>
      <w:r w:rsidR="00B408BF">
        <w:rPr>
          <w:b/>
          <w:sz w:val="28"/>
          <w:szCs w:val="28"/>
        </w:rPr>
        <w:t>302003</w:t>
      </w:r>
      <w:r w:rsidR="009F56CA">
        <w:rPr>
          <w:b/>
          <w:sz w:val="28"/>
          <w:szCs w:val="28"/>
        </w:rPr>
        <w:t>:3</w:t>
      </w:r>
      <w:r w:rsidR="00B408BF">
        <w:rPr>
          <w:b/>
          <w:sz w:val="28"/>
          <w:szCs w:val="28"/>
        </w:rPr>
        <w:t>6</w:t>
      </w:r>
      <w:r w:rsidR="00085EB2">
        <w:rPr>
          <w:b/>
          <w:sz w:val="28"/>
          <w:szCs w:val="28"/>
        </w:rPr>
        <w:t>0</w:t>
      </w:r>
      <w:r w:rsidR="009F56CA">
        <w:rPr>
          <w:b/>
          <w:sz w:val="28"/>
          <w:szCs w:val="28"/>
        </w:rPr>
        <w:t xml:space="preserve"> </w:t>
      </w:r>
      <w:r w:rsidRPr="00457402">
        <w:rPr>
          <w:b/>
          <w:sz w:val="28"/>
          <w:szCs w:val="28"/>
        </w:rPr>
        <w:t>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B408BF">
        <w:rPr>
          <w:b/>
          <w:sz w:val="28"/>
          <w:szCs w:val="28"/>
        </w:rPr>
        <w:t>п. Увельский, ул. Тургенева, д. 41</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r w:rsidRPr="00457402">
        <w:rPr>
          <w:sz w:val="28"/>
          <w:szCs w:val="28"/>
        </w:rPr>
        <w:t>Челябинская обл., Увельский муниципальный округ, пос. Увель</w:t>
      </w:r>
      <w:r w:rsidR="0008133C">
        <w:rPr>
          <w:sz w:val="28"/>
          <w:szCs w:val="28"/>
        </w:rPr>
        <w:t xml:space="preserve">ский, ул. Советская, д. 24, </w:t>
      </w:r>
      <w:r w:rsidRPr="00457402">
        <w:rPr>
          <w:sz w:val="28"/>
          <w:szCs w:val="28"/>
        </w:rPr>
        <w:t xml:space="preserve">каб.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с: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772E56">
        <w:rPr>
          <w:rFonts w:ascii="Times New Roman" w:hAnsi="Times New Roman"/>
          <w:noProof/>
        </w:rPr>
        <w:t>____</w:t>
      </w:r>
      <w:r w:rsidRPr="003D728B">
        <w:rPr>
          <w:rFonts w:ascii="Times New Roman" w:hAnsi="Times New Roman"/>
          <w:noProof/>
        </w:rPr>
        <w:t>»</w:t>
      </w:r>
      <w:r w:rsidR="00F338DC">
        <w:rPr>
          <w:rFonts w:ascii="Times New Roman" w:hAnsi="Times New Roman"/>
          <w:noProof/>
        </w:rPr>
        <w:t xml:space="preserve"> </w:t>
      </w:r>
      <w:r w:rsidR="00772E56">
        <w:rPr>
          <w:rFonts w:ascii="Times New Roman" w:hAnsi="Times New Roman"/>
          <w:noProof/>
        </w:rPr>
        <w:t>________</w:t>
      </w:r>
      <w:r w:rsidR="00F338DC">
        <w:rPr>
          <w:rFonts w:ascii="Times New Roman" w:hAnsi="Times New Roman"/>
          <w:noProof/>
        </w:rPr>
        <w:t xml:space="preserve"> </w:t>
      </w:r>
      <w:r w:rsidRPr="003D728B">
        <w:rPr>
          <w:rFonts w:ascii="Times New Roman" w:hAnsi="Times New Roman"/>
          <w:noProof/>
        </w:rPr>
        <w:t>2026 №</w:t>
      </w:r>
      <w:r w:rsidR="00772E56">
        <w:rPr>
          <w:rFonts w:ascii="Times New Roman" w:hAnsi="Times New Roman"/>
          <w:noProof/>
        </w:rPr>
        <w:t>_____</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(с изм.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проведении аукциона в электронной форме</w:t>
      </w:r>
    </w:p>
    <w:p w:rsidR="00BD7AB9" w:rsidRPr="00085EB2" w:rsidRDefault="004B4B35" w:rsidP="00BD7AB9">
      <w:pPr>
        <w:pStyle w:val="a6"/>
        <w:ind w:firstLine="621"/>
        <w:jc w:val="center"/>
        <w:rPr>
          <w:sz w:val="26"/>
          <w:szCs w:val="26"/>
        </w:rPr>
      </w:pPr>
      <w:r w:rsidRPr="00085EB2">
        <w:rPr>
          <w:bCs/>
          <w:sz w:val="26"/>
          <w:szCs w:val="26"/>
        </w:rPr>
        <w:t xml:space="preserve">на право заключения договора </w:t>
      </w:r>
      <w:r w:rsidR="00735102" w:rsidRPr="00085EB2">
        <w:rPr>
          <w:sz w:val="26"/>
          <w:szCs w:val="26"/>
        </w:rPr>
        <w:t xml:space="preserve">купли-продажи </w:t>
      </w:r>
      <w:r w:rsidRPr="00085EB2">
        <w:rPr>
          <w:sz w:val="26"/>
          <w:szCs w:val="26"/>
        </w:rPr>
        <w:t xml:space="preserve">муниципального имущества </w:t>
      </w:r>
      <w:r w:rsidR="00735102" w:rsidRPr="00085EB2">
        <w:rPr>
          <w:sz w:val="26"/>
          <w:szCs w:val="26"/>
        </w:rPr>
        <w:t xml:space="preserve">- </w:t>
      </w:r>
    </w:p>
    <w:p w:rsidR="004B4B35" w:rsidRPr="00085EB2" w:rsidRDefault="00085EB2" w:rsidP="004B4B35">
      <w:pPr>
        <w:pStyle w:val="a6"/>
        <w:ind w:firstLine="621"/>
        <w:jc w:val="both"/>
        <w:rPr>
          <w:sz w:val="26"/>
          <w:szCs w:val="26"/>
        </w:rPr>
      </w:pPr>
      <w:r w:rsidRPr="00085EB2">
        <w:rPr>
          <w:sz w:val="26"/>
          <w:szCs w:val="26"/>
        </w:rPr>
        <w:t>нежилое здание   площадью 67,2 кв.м, с кадастровым номером 74:21:1302003:33, , расположенное на земельном участке площадью 160  кв. м  с кадастровым номером 74:21:1302003:360 по адресу: Челябинская область, Увельский муниципальный район, п. Увельский, ул. Тургенева, д. 41</w:t>
      </w:r>
      <w:r w:rsidR="004B4B35" w:rsidRPr="00085EB2">
        <w:rPr>
          <w:sz w:val="26"/>
          <w:szCs w:val="26"/>
        </w:rPr>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п/п</w:t>
            </w:r>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r w:rsidRPr="00E748E5">
              <w:t>E-mail</w:t>
            </w:r>
          </w:p>
        </w:tc>
        <w:tc>
          <w:tcPr>
            <w:tcW w:w="10064" w:type="dxa"/>
          </w:tcPr>
          <w:p w:rsidR="004B4B35" w:rsidRPr="00E748E5" w:rsidRDefault="004B4B35" w:rsidP="004B4B35">
            <w:pPr>
              <w:pStyle w:val="a6"/>
              <w:rPr>
                <w:sz w:val="22"/>
                <w:szCs w:val="22"/>
              </w:rPr>
            </w:pPr>
            <w:r w:rsidRPr="00E748E5">
              <w:rPr>
                <w:sz w:val="22"/>
                <w:szCs w:val="22"/>
                <w:lang w:val="en-US"/>
              </w:rPr>
              <w:t>zemkom</w:t>
            </w:r>
            <w:r w:rsidRPr="00E748E5">
              <w:rPr>
                <w:sz w:val="22"/>
                <w:szCs w:val="22"/>
              </w:rPr>
              <w:t>_</w:t>
            </w:r>
            <w:r w:rsidRPr="00E748E5">
              <w:rPr>
                <w:sz w:val="22"/>
                <w:szCs w:val="22"/>
                <w:lang w:val="en-US"/>
              </w:rPr>
              <w:t>uvelka</w:t>
            </w:r>
            <w:r w:rsidRPr="00E748E5">
              <w:rPr>
                <w:sz w:val="22"/>
                <w:szCs w:val="22"/>
              </w:rPr>
              <w:t>@</w:t>
            </w:r>
            <w:r w:rsidRPr="00E748E5">
              <w:rPr>
                <w:sz w:val="22"/>
                <w:szCs w:val="22"/>
                <w:lang w:val="en-US"/>
              </w:rPr>
              <w:t>mail</w:t>
            </w:r>
            <w:r w:rsidRPr="00E748E5">
              <w:rPr>
                <w:sz w:val="22"/>
                <w:szCs w:val="22"/>
              </w:rPr>
              <w:t>.</w:t>
            </w:r>
            <w:r w:rsidRPr="00E748E5">
              <w:rPr>
                <w:sz w:val="22"/>
                <w:szCs w:val="22"/>
                <w:lang w:val="en-US"/>
              </w:rPr>
              <w:t>ru</w:t>
            </w:r>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121151, г. Москва, наб.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lastRenderedPageBreak/>
              <w:t>12</w:t>
            </w:r>
          </w:p>
        </w:tc>
        <w:tc>
          <w:tcPr>
            <w:tcW w:w="3969" w:type="dxa"/>
          </w:tcPr>
          <w:p w:rsidR="004B4B35" w:rsidRPr="00E748E5" w:rsidRDefault="004B4B35" w:rsidP="004B4B35">
            <w:pPr>
              <w:jc w:val="both"/>
            </w:pPr>
            <w:r w:rsidRPr="00E748E5">
              <w:t>E-mail: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085EB2" w:rsidRDefault="00085EB2" w:rsidP="00085EB2">
            <w:pPr>
              <w:pStyle w:val="a6"/>
              <w:ind w:firstLine="621"/>
              <w:jc w:val="both"/>
              <w:rPr>
                <w:sz w:val="26"/>
                <w:szCs w:val="26"/>
              </w:rPr>
            </w:pPr>
            <w:r w:rsidRPr="00085EB2">
              <w:rPr>
                <w:sz w:val="26"/>
                <w:szCs w:val="26"/>
              </w:rPr>
              <w:t>нежилое здание   площадью 67,2 кв.м, с кадастровым номером 74:21:1302003:33, , расположенное на земельном участке площадью 160  кв. м  с кадастровым номером 74:21:1302003:360 по адресу: Челябинская область, Увельский муниципальный район, п. Увельский, ул. Тургенева, д. 41</w:t>
            </w: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w:t>
            </w:r>
            <w:r w:rsidR="005D5216">
              <w:t xml:space="preserve">  </w:t>
            </w:r>
            <w:r>
              <w:t xml:space="preserve">составляет </w:t>
            </w:r>
            <w:r w:rsidR="00094817">
              <w:t>334033</w:t>
            </w:r>
            <w:r>
              <w:t xml:space="preserve"> рублей, земельного участка- </w:t>
            </w:r>
            <w:r w:rsidR="00085EB2">
              <w:t>83631 рублей</w:t>
            </w:r>
            <w:r>
              <w:t>, общая начальная цена лота -</w:t>
            </w:r>
            <w:r w:rsidR="00094817">
              <w:t>417664</w:t>
            </w:r>
            <w:r w:rsidR="00707B62">
              <w:t xml:space="preserve"> </w:t>
            </w:r>
            <w:r w:rsidR="004B4B35" w:rsidRPr="00E748E5">
              <w:t>рублей</w:t>
            </w:r>
            <w:r w:rsidR="002A151F">
              <w:t>.</w:t>
            </w:r>
            <w:r w:rsidR="00A93652">
              <w:t xml:space="preserve"> Цена указана без учета НДС.</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085EB2" w:rsidP="00094817">
            <w:pPr>
              <w:jc w:val="both"/>
            </w:pPr>
            <w:r>
              <w:rPr>
                <w:lang w:eastAsia="en-US"/>
              </w:rPr>
              <w:t>1</w:t>
            </w:r>
            <w:r w:rsidR="00094817">
              <w:rPr>
                <w:lang w:eastAsia="en-US"/>
              </w:rPr>
              <w:t>2529,92</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094817">
              <w:rPr>
                <w:lang w:eastAsia="en-US"/>
              </w:rPr>
              <w:t>41766,40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E22AA7">
              <w:t>28</w:t>
            </w:r>
            <w:r w:rsidRPr="00E748E5">
              <w:t xml:space="preserve">» </w:t>
            </w:r>
            <w:r w:rsidR="00E22AA7">
              <w:t>мая</w:t>
            </w:r>
            <w:r w:rsidR="008D6F9D">
              <w:t xml:space="preserve"> </w:t>
            </w:r>
            <w:r w:rsidRPr="00E748E5">
              <w:t xml:space="preserve">2026  года </w:t>
            </w:r>
            <w:r w:rsidR="008D6F9D">
              <w:t>10</w:t>
            </w:r>
            <w:r w:rsidRPr="00E748E5">
              <w:t xml:space="preserve">:00 часов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E22AA7">
              <w:t>22</w:t>
            </w:r>
            <w:r w:rsidRPr="00E748E5">
              <w:t>»</w:t>
            </w:r>
            <w:r w:rsidR="008D6F9D">
              <w:t xml:space="preserve"> </w:t>
            </w:r>
            <w:r w:rsidR="00E22AA7">
              <w:t>июня</w:t>
            </w:r>
            <w:r w:rsidR="008D6F9D">
              <w:t xml:space="preserve"> </w:t>
            </w:r>
            <w:r w:rsidRPr="00E748E5">
              <w:t xml:space="preserve">2026 года до </w:t>
            </w:r>
            <w:r w:rsidR="008D6F9D">
              <w:t>10</w:t>
            </w:r>
            <w:r w:rsidRPr="00E748E5">
              <w:t xml:space="preserve">.00 часов </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094817">
            <w:pPr>
              <w:spacing w:line="256" w:lineRule="auto"/>
              <w:jc w:val="both"/>
            </w:pPr>
            <w:r w:rsidRPr="00E748E5">
              <w:t>«</w:t>
            </w:r>
            <w:r w:rsidR="00E22AA7">
              <w:t>23</w:t>
            </w:r>
            <w:r w:rsidRPr="00E748E5">
              <w:t>»</w:t>
            </w:r>
            <w:r w:rsidR="008D6F9D">
              <w:t xml:space="preserve"> </w:t>
            </w:r>
            <w:r w:rsidR="00E22AA7">
              <w:t>июня</w:t>
            </w:r>
            <w:r w:rsidR="008D6F9D">
              <w:t xml:space="preserve"> </w:t>
            </w:r>
            <w:r w:rsidRPr="00E748E5">
              <w:t xml:space="preserve">2026 года в </w:t>
            </w:r>
            <w:r w:rsidR="008D6F9D">
              <w:t>10</w:t>
            </w:r>
            <w:r w:rsidRPr="00E748E5">
              <w:t xml:space="preserve">:00 </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по месту нахождения Организатора аукциона: 457000, Челябинская область, Увельский муниципальный округ, п. Увельский, Ул. Советская, д. 24, каб.</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не превышает десять дней с даты окончания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094817">
            <w:pPr>
              <w:spacing w:line="256" w:lineRule="auto"/>
              <w:jc w:val="both"/>
            </w:pPr>
            <w:r w:rsidRPr="00E748E5">
              <w:t>«</w:t>
            </w:r>
            <w:r w:rsidR="00E22AA7">
              <w:t>24</w:t>
            </w:r>
            <w:r w:rsidRPr="00E748E5">
              <w:t>»</w:t>
            </w:r>
            <w:r w:rsidR="008D6F9D">
              <w:t xml:space="preserve"> </w:t>
            </w:r>
            <w:r w:rsidR="00094817">
              <w:t>июня</w:t>
            </w:r>
            <w:r w:rsidR="008D6F9D">
              <w:t xml:space="preserve"> </w:t>
            </w:r>
            <w:r w:rsidRPr="00E748E5">
              <w:t xml:space="preserve">2026 года в </w:t>
            </w:r>
            <w:r w:rsidR="008D6F9D">
              <w:t>1</w:t>
            </w:r>
            <w:r w:rsidR="00094817">
              <w:t>0</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 xml:space="preserve">адатки перечисляются на счет электронной площадки ООО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 xml:space="preserve">Филиал "Корпоративный" ПАО "Совкомбанк"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A93652" w:rsidRDefault="0008133C" w:rsidP="00A93652">
            <w:pPr>
              <w:jc w:val="both"/>
              <w:rPr>
                <w:lang w:eastAsia="ar-SA"/>
              </w:rPr>
            </w:pPr>
            <w:r w:rsidRPr="007469D2">
              <w:rPr>
                <w:lang w:eastAsia="ar-SA"/>
              </w:rPr>
              <w:t xml:space="preserve">Наименование платежа: Внесение гарантийного обеспечения по Соглашению о внесении гарантийного обеспечения, № аналитического счета _____________. </w:t>
            </w:r>
          </w:p>
          <w:p w:rsidR="004B4B35" w:rsidRPr="0008133C" w:rsidRDefault="0008133C" w:rsidP="00A93652">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7D563E">
            <w:pPr>
              <w:jc w:val="both"/>
              <w:rPr>
                <w:sz w:val="24"/>
                <w:szCs w:val="24"/>
              </w:rPr>
            </w:pPr>
            <w:r w:rsidRPr="00C613F6">
              <w:rPr>
                <w:sz w:val="24"/>
                <w:szCs w:val="24"/>
              </w:rPr>
              <w:t>Постановление Администрации Увельского муниципального округа №</w:t>
            </w:r>
            <w:r w:rsidR="007D563E">
              <w:rPr>
                <w:sz w:val="24"/>
                <w:szCs w:val="24"/>
              </w:rPr>
              <w:t>____</w:t>
            </w:r>
            <w:r w:rsidR="00F338DC">
              <w:rPr>
                <w:sz w:val="24"/>
                <w:szCs w:val="24"/>
              </w:rPr>
              <w:t xml:space="preserve"> </w:t>
            </w:r>
            <w:r w:rsidRPr="00C613F6">
              <w:rPr>
                <w:sz w:val="24"/>
                <w:szCs w:val="24"/>
              </w:rPr>
              <w:t xml:space="preserve"> от «</w:t>
            </w:r>
            <w:r w:rsidR="007D563E">
              <w:rPr>
                <w:sz w:val="24"/>
                <w:szCs w:val="24"/>
              </w:rPr>
              <w:t>____</w:t>
            </w:r>
            <w:r w:rsidRPr="00C613F6">
              <w:rPr>
                <w:sz w:val="24"/>
                <w:szCs w:val="24"/>
              </w:rPr>
              <w:t>»</w:t>
            </w:r>
            <w:r w:rsidR="00F338DC">
              <w:rPr>
                <w:sz w:val="24"/>
                <w:szCs w:val="24"/>
              </w:rPr>
              <w:t xml:space="preserve">  </w:t>
            </w:r>
            <w:r w:rsidR="007D563E">
              <w:rPr>
                <w:sz w:val="24"/>
                <w:szCs w:val="24"/>
              </w:rPr>
              <w:t>________</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с даты подписания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В течение 1 (одного) дня с даты принятия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Организатор аукциона вправе отказаться от проведения аукциона не позднее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с даты принятия решения </w:t>
            </w:r>
            <w:r w:rsidRPr="00C613F6">
              <w:rPr>
                <w:rFonts w:eastAsia="Calibri"/>
                <w:sz w:val="24"/>
                <w:szCs w:val="24"/>
              </w:rPr>
              <w:lastRenderedPageBreak/>
              <w:t>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 xml:space="preserve">документацией о проведении аукциона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lastRenderedPageBreak/>
              <w:t>Прием заявок на участие в аукционе в электронной форме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w:t>
            </w:r>
            <w:r w:rsidRPr="00C613F6">
              <w:lastRenderedPageBreak/>
              <w:t>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организатором аукциона </w:t>
            </w:r>
            <w:r w:rsidRPr="00C613F6">
              <w:rPr>
                <w:rFonts w:eastAsiaTheme="minorHAnsi"/>
                <w:sz w:val="24"/>
                <w:szCs w:val="24"/>
                <w:lang w:eastAsia="en-US"/>
              </w:rPr>
              <w:lastRenderedPageBreak/>
              <w:t>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на:</w:t>
            </w:r>
          </w:p>
          <w:p w:rsidR="003B3A53" w:rsidRPr="00C613F6" w:rsidRDefault="003B3A53" w:rsidP="00C613F6">
            <w:pPr>
              <w:jc w:val="both"/>
              <w:rPr>
                <w:sz w:val="24"/>
                <w:szCs w:val="24"/>
              </w:rPr>
            </w:pPr>
            <w:r w:rsidRPr="00C613F6">
              <w:rPr>
                <w:sz w:val="24"/>
                <w:szCs w:val="24"/>
              </w:rPr>
              <w:t xml:space="preserve">- официальном сайте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официальном  сайте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п.Увельский,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r w:rsidRPr="00C613F6">
              <w:rPr>
                <w:sz w:val="24"/>
                <w:szCs w:val="24"/>
                <w:shd w:val="clear" w:color="auto" w:fill="FFFFFF"/>
                <w:lang w:val="en-US"/>
              </w:rPr>
              <w:t>zemkom</w:t>
            </w:r>
            <w:r w:rsidRPr="00C613F6">
              <w:rPr>
                <w:sz w:val="24"/>
                <w:szCs w:val="24"/>
                <w:shd w:val="clear" w:color="auto" w:fill="FFFFFF"/>
              </w:rPr>
              <w:t>_</w:t>
            </w:r>
            <w:r w:rsidRPr="00C613F6">
              <w:rPr>
                <w:sz w:val="24"/>
                <w:szCs w:val="24"/>
                <w:shd w:val="clear" w:color="auto" w:fill="FFFFFF"/>
                <w:lang w:val="en-US"/>
              </w:rPr>
              <w:t>uvelka</w:t>
            </w:r>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r w:rsidRPr="00C613F6">
              <w:rPr>
                <w:sz w:val="24"/>
                <w:szCs w:val="24"/>
                <w:shd w:val="clear" w:color="auto" w:fill="FFFFFF"/>
                <w:lang w:val="en-US"/>
              </w:rPr>
              <w:t>ru</w:t>
            </w:r>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lastRenderedPageBreak/>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для перечисление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г.Челябинск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r w:rsidRPr="00C613F6">
              <w:rPr>
                <w:sz w:val="24"/>
                <w:szCs w:val="24"/>
              </w:rPr>
              <w:t>каз/счет 03100643000000016900</w:t>
            </w:r>
          </w:p>
          <w:p w:rsidR="00D06895" w:rsidRPr="00C613F6" w:rsidRDefault="00D06895" w:rsidP="00C613F6">
            <w:pPr>
              <w:jc w:val="both"/>
              <w:rPr>
                <w:sz w:val="24"/>
                <w:szCs w:val="24"/>
              </w:rPr>
            </w:pPr>
            <w:r w:rsidRPr="00C613F6">
              <w:rPr>
                <w:sz w:val="24"/>
                <w:szCs w:val="24"/>
              </w:rPr>
              <w:t>л/счет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возвращается победителю электронного аукциона в течение 5 (пяти) рабочих дней с даты заключения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w:t>
            </w:r>
            <w:r w:rsidRPr="00C613F6">
              <w:rPr>
                <w:sz w:val="24"/>
                <w:szCs w:val="24"/>
              </w:rPr>
              <w:lastRenderedPageBreak/>
              <w:t>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земельных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torgi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.r</w:t>
        </w:r>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проведении  аукциона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r>
        <w:t xml:space="preserve">согласен/согласна приобрести право заключения договора </w:t>
      </w:r>
      <w:r w:rsidR="002243DA">
        <w:t xml:space="preserve">купли-продажи </w:t>
      </w:r>
      <w:r>
        <w:t>на следующий объект (наименование ЛОТа):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муниципального имущества  по предложенной мной цене в срок не ранее 10  дней с даты подведения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Контактный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земельных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r>
          <w:rPr>
            <w:rStyle w:val="a3"/>
            <w:rFonts w:ascii="Times New Roman" w:hAnsi="Times New Roman"/>
            <w:sz w:val="21"/>
            <w:szCs w:val="21"/>
            <w:lang w:val="en-US"/>
          </w:rPr>
          <w:t>torgi</w:t>
        </w:r>
        <w:r>
          <w:rPr>
            <w:rStyle w:val="a3"/>
            <w:rFonts w:ascii="Times New Roman" w:hAnsi="Times New Roman"/>
            <w:sz w:val="21"/>
            <w:szCs w:val="21"/>
          </w:rPr>
          <w:t>.</w:t>
        </w:r>
        <w:r>
          <w:rPr>
            <w:rStyle w:val="a3"/>
            <w:rFonts w:ascii="Times New Roman" w:hAnsi="Times New Roman"/>
            <w:sz w:val="21"/>
            <w:szCs w:val="21"/>
            <w:lang w:val="en-US"/>
          </w:rPr>
          <w:t>gov</w:t>
        </w:r>
        <w:r>
          <w:rPr>
            <w:rStyle w:val="a3"/>
            <w:rFonts w:ascii="Times New Roman" w:hAnsi="Times New Roman"/>
            <w:sz w:val="21"/>
            <w:szCs w:val="21"/>
          </w:rPr>
          <w:t>.r</w:t>
        </w:r>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проведении  аукциона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ЛОТа):</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по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цене в срок не ранее 10 дней с  даты подведения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Контактный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и _________________________________(ИНН ______________ КПП _______________), в лице________________________________, действующего на основании ___________, зарегистрированное по адресу:____________________________________,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BB0" w:rsidRDefault="00031BB5" w:rsidP="00FA2BB0">
      <w:pPr>
        <w:pStyle w:val="FR1"/>
        <w:numPr>
          <w:ilvl w:val="0"/>
          <w:numId w:val="6"/>
        </w:numPr>
        <w:spacing w:before="0"/>
        <w:jc w:val="center"/>
        <w:rPr>
          <w:b/>
          <w:bCs/>
          <w:sz w:val="26"/>
          <w:szCs w:val="26"/>
        </w:rPr>
      </w:pPr>
      <w:r w:rsidRPr="00FA279B">
        <w:rPr>
          <w:b/>
          <w:bCs/>
          <w:sz w:val="26"/>
          <w:szCs w:val="26"/>
        </w:rPr>
        <w:t>Предмет Договора</w:t>
      </w:r>
    </w:p>
    <w:p w:rsidR="00031BB5" w:rsidRPr="00FA2BB0" w:rsidRDefault="00031BB5" w:rsidP="00FA2BB0">
      <w:pPr>
        <w:pStyle w:val="FR1"/>
        <w:spacing w:before="0"/>
        <w:ind w:left="40"/>
        <w:rPr>
          <w:b/>
          <w:bCs/>
          <w:sz w:val="26"/>
          <w:szCs w:val="26"/>
        </w:rPr>
      </w:pPr>
    </w:p>
    <w:p w:rsidR="002B5A24" w:rsidRPr="00FA2BB0" w:rsidRDefault="00031BB5" w:rsidP="00FA2BB0">
      <w:pPr>
        <w:pStyle w:val="a6"/>
        <w:ind w:firstLine="621"/>
        <w:jc w:val="both"/>
        <w:rPr>
          <w:b/>
          <w:sz w:val="26"/>
          <w:szCs w:val="26"/>
        </w:rPr>
      </w:pPr>
      <w:r w:rsidRPr="00FA2BB0">
        <w:rPr>
          <w:sz w:val="26"/>
          <w:szCs w:val="26"/>
        </w:rPr>
        <w:t>1.1. Продавец передает в собственность (за плату), а Покупатель принимает и оплачивает по цене и на условиях настоящего Договора</w:t>
      </w:r>
      <w:r w:rsidR="00FA2BB0" w:rsidRPr="00FA2BB0">
        <w:rPr>
          <w:b/>
          <w:sz w:val="26"/>
          <w:szCs w:val="26"/>
        </w:rPr>
        <w:t xml:space="preserve"> </w:t>
      </w:r>
      <w:r w:rsidR="00CB26C0" w:rsidRPr="00085EB2">
        <w:rPr>
          <w:sz w:val="26"/>
          <w:szCs w:val="26"/>
        </w:rPr>
        <w:t>нежилое здание   площадью 67,2 кв.м, с кадастровым номером 74:21:1302003:33, , расположенное на земельном участке площадью 160  кв. м  с кадастровым номером 74:21:1302003:360 по адресу: Челябинская область, Увельский муниципальный район, п. Увельский, ул. Тургенева, д. 41</w:t>
      </w:r>
      <w:r w:rsidR="00CB26C0">
        <w:rPr>
          <w:sz w:val="26"/>
          <w:szCs w:val="26"/>
        </w:rPr>
        <w:t xml:space="preserve">. </w:t>
      </w:r>
      <w:r w:rsidR="00A10580" w:rsidRPr="00FA2BB0">
        <w:rPr>
          <w:sz w:val="26"/>
          <w:szCs w:val="26"/>
        </w:rPr>
        <w:t>Целевое назначение-</w:t>
      </w:r>
      <w:r w:rsidR="00871F17" w:rsidRPr="00FA2BB0">
        <w:rPr>
          <w:sz w:val="26"/>
          <w:szCs w:val="26"/>
          <w:lang w:eastAsia="en-US"/>
        </w:rPr>
        <w:t xml:space="preserve"> коммерческая (производственная) деятельность</w:t>
      </w:r>
      <w:r w:rsidR="00A10580" w:rsidRPr="00FA2BB0">
        <w:rPr>
          <w:sz w:val="26"/>
          <w:szCs w:val="26"/>
        </w:rPr>
        <w:t>.</w:t>
      </w:r>
    </w:p>
    <w:p w:rsidR="003860EE" w:rsidRPr="00FA279B" w:rsidRDefault="00031BB5" w:rsidP="00FA2BB0">
      <w:pPr>
        <w:pStyle w:val="ac"/>
        <w:shd w:val="clear" w:color="auto" w:fill="FFFFFF"/>
        <w:tabs>
          <w:tab w:val="left" w:pos="993"/>
        </w:tabs>
        <w:spacing w:before="0" w:beforeAutospacing="0" w:after="0" w:afterAutospacing="0"/>
        <w:ind w:firstLine="709"/>
        <w:jc w:val="both"/>
        <w:rPr>
          <w:sz w:val="26"/>
          <w:szCs w:val="26"/>
        </w:rPr>
      </w:pPr>
      <w:r w:rsidRPr="00FA2BB0">
        <w:rPr>
          <w:sz w:val="26"/>
          <w:szCs w:val="26"/>
        </w:rPr>
        <w:t xml:space="preserve">1.2. </w:t>
      </w:r>
      <w:r w:rsidR="007006ED" w:rsidRPr="00FA2BB0">
        <w:rPr>
          <w:sz w:val="26"/>
          <w:szCs w:val="26"/>
        </w:rPr>
        <w:t>Н</w:t>
      </w:r>
      <w:r w:rsidR="002B5A24" w:rsidRPr="00FA2BB0">
        <w:rPr>
          <w:sz w:val="26"/>
          <w:szCs w:val="26"/>
        </w:rPr>
        <w:t>ежилое помещение</w:t>
      </w:r>
      <w:r w:rsidRPr="00FA2BB0">
        <w:rPr>
          <w:sz w:val="26"/>
          <w:szCs w:val="26"/>
        </w:rPr>
        <w:t xml:space="preserve"> принадлежит Продавцу на праве собственности</w:t>
      </w:r>
      <w:r w:rsidRPr="00FA279B">
        <w:rPr>
          <w:sz w:val="26"/>
          <w:szCs w:val="26"/>
        </w:rPr>
        <w:t>,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CB26C0">
        <w:rPr>
          <w:sz w:val="26"/>
          <w:szCs w:val="26"/>
        </w:rPr>
        <w:t xml:space="preserve"> </w:t>
      </w:r>
      <w:r w:rsidR="008D7EDD">
        <w:rPr>
          <w:sz w:val="26"/>
          <w:szCs w:val="26"/>
        </w:rPr>
        <w:t xml:space="preserve"> </w:t>
      </w:r>
      <w:r w:rsidR="008D7EDD" w:rsidRPr="00FA279B">
        <w:rPr>
          <w:sz w:val="26"/>
          <w:szCs w:val="26"/>
        </w:rPr>
        <w:t>номер государственной регистрации права</w:t>
      </w:r>
      <w:r w:rsidR="008D7EDD">
        <w:rPr>
          <w:sz w:val="26"/>
          <w:szCs w:val="26"/>
        </w:rPr>
        <w:t xml:space="preserve">  , </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r w:rsidR="00970CED">
        <w:rPr>
          <w:sz w:val="26"/>
          <w:szCs w:val="26"/>
        </w:rPr>
        <w:t xml:space="preserve"> </w:t>
      </w:r>
      <w:r w:rsidR="008D7EDD">
        <w:rPr>
          <w:sz w:val="26"/>
          <w:szCs w:val="26"/>
        </w:rPr>
        <w:t>г.</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E06000">
        <w:rPr>
          <w:b w:val="0"/>
          <w:bCs/>
          <w:sz w:val="26"/>
          <w:szCs w:val="26"/>
        </w:rPr>
        <w:t>Нежилое</w:t>
      </w:r>
      <w:r w:rsidR="00FA2BB0">
        <w:rPr>
          <w:b w:val="0"/>
          <w:bCs/>
          <w:sz w:val="26"/>
          <w:szCs w:val="26"/>
        </w:rPr>
        <w:t xml:space="preserve"> здани</w:t>
      </w:r>
      <w:r w:rsidR="00E06000">
        <w:rPr>
          <w:b w:val="0"/>
          <w:bCs/>
          <w:sz w:val="26"/>
          <w:szCs w:val="26"/>
        </w:rPr>
        <w:t xml:space="preserve">е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_____________________по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00654A">
        <w:rPr>
          <w:sz w:val="26"/>
          <w:szCs w:val="26"/>
        </w:rPr>
        <w:t>нежил</w:t>
      </w:r>
      <w:r w:rsidR="00E06000">
        <w:rPr>
          <w:sz w:val="26"/>
          <w:szCs w:val="26"/>
        </w:rPr>
        <w:t>ое</w:t>
      </w:r>
      <w:r w:rsidR="0000654A">
        <w:rPr>
          <w:sz w:val="26"/>
          <w:szCs w:val="26"/>
        </w:rPr>
        <w:t xml:space="preserve"> здани</w:t>
      </w:r>
      <w:r w:rsidR="00E06000">
        <w:rPr>
          <w:sz w:val="26"/>
          <w:szCs w:val="26"/>
        </w:rPr>
        <w:t>е</w:t>
      </w:r>
      <w:r w:rsidR="0000654A">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 </w:t>
      </w:r>
      <w:r w:rsidRPr="00FA279B">
        <w:rPr>
          <w:sz w:val="26"/>
          <w:szCs w:val="26"/>
        </w:rPr>
        <w:t>(___________________________) 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lastRenderedPageBreak/>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г.Челябинск</w:t>
      </w:r>
    </w:p>
    <w:p w:rsidR="00031BB5" w:rsidRPr="00FA279B" w:rsidRDefault="00031BB5" w:rsidP="00031BB5">
      <w:pPr>
        <w:jc w:val="both"/>
        <w:rPr>
          <w:b/>
          <w:sz w:val="26"/>
          <w:szCs w:val="26"/>
        </w:rPr>
      </w:pPr>
      <w:r w:rsidRPr="00FA279B">
        <w:rPr>
          <w:b/>
          <w:sz w:val="26"/>
          <w:szCs w:val="26"/>
        </w:rPr>
        <w:t>БИК 017501500 ЕКС 40102810645370000062 каз/счет 03100643000000016900</w:t>
      </w:r>
    </w:p>
    <w:p w:rsidR="00031BB5" w:rsidRPr="00FA279B" w:rsidRDefault="00031BB5" w:rsidP="00031BB5">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0654A" w:rsidRPr="00FA279B" w:rsidRDefault="0000654A" w:rsidP="00031BB5">
      <w:pPr>
        <w:shd w:val="clear" w:color="auto" w:fill="FFFFFF"/>
        <w:tabs>
          <w:tab w:val="left" w:leader="hyphen" w:pos="4402"/>
          <w:tab w:val="left" w:leader="underscore" w:pos="5506"/>
        </w:tabs>
        <w:ind w:left="67" w:firstLine="642"/>
        <w:jc w:val="both"/>
        <w:rPr>
          <w:sz w:val="26"/>
          <w:szCs w:val="26"/>
        </w:rPr>
      </w:pPr>
      <w:r>
        <w:rPr>
          <w:sz w:val="26"/>
          <w:szCs w:val="26"/>
        </w:rPr>
        <w:t>2.5. Налог на добавленную стоимость (НДС) Покупатель перечисляет в бюджет самостоятельно.</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00654A">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 xml:space="preserve">е </w:t>
      </w:r>
      <w:r w:rsidRPr="00FA279B">
        <w:rPr>
          <w:rFonts w:ascii="Times New Roman" w:hAnsi="Times New Roman"/>
          <w:sz w:val="26"/>
          <w:szCs w:val="26"/>
        </w:rPr>
        <w:t xml:space="preserve">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Оплатить цену </w:t>
      </w:r>
      <w:r w:rsidR="00A10580" w:rsidRPr="00FA279B">
        <w:rPr>
          <w:rFonts w:ascii="Times New Roman" w:hAnsi="Times New Roman"/>
          <w:sz w:val="26"/>
          <w:szCs w:val="26"/>
        </w:rPr>
        <w:t>нежил</w:t>
      </w:r>
      <w:r w:rsidR="00E06000">
        <w:rPr>
          <w:rFonts w:ascii="Times New Roman" w:hAnsi="Times New Roman"/>
          <w:sz w:val="26"/>
          <w:szCs w:val="26"/>
        </w:rPr>
        <w:t>ого</w:t>
      </w:r>
      <w:r w:rsidR="0000654A">
        <w:rPr>
          <w:rFonts w:ascii="Times New Roman" w:hAnsi="Times New Roman"/>
          <w:sz w:val="26"/>
          <w:szCs w:val="26"/>
        </w:rPr>
        <w:t xml:space="preserve"> здани</w:t>
      </w:r>
      <w:r w:rsidR="00E06000">
        <w:rPr>
          <w:rFonts w:ascii="Times New Roman" w:hAnsi="Times New Roman"/>
          <w:sz w:val="26"/>
          <w:szCs w:val="26"/>
        </w:rPr>
        <w:t xml:space="preserve">я </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Просрочка уплаты цены продажи имущества в сумме и в сроки, указанные в пункте 2.1., 2.3. настоящего Договора свыше десяти календарных дней, считается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00654A">
        <w:rPr>
          <w:sz w:val="26"/>
          <w:szCs w:val="26"/>
        </w:rPr>
        <w:t>нежил</w:t>
      </w:r>
      <w:r w:rsidR="00E06000">
        <w:rPr>
          <w:sz w:val="26"/>
          <w:szCs w:val="26"/>
        </w:rPr>
        <w:t>ого</w:t>
      </w:r>
      <w:r w:rsidR="0000654A">
        <w:rPr>
          <w:sz w:val="26"/>
          <w:szCs w:val="26"/>
        </w:rPr>
        <w:t xml:space="preserve"> здани</w:t>
      </w:r>
      <w:r w:rsidR="00E06000">
        <w:rPr>
          <w:sz w:val="26"/>
          <w:szCs w:val="26"/>
        </w:rPr>
        <w:t>я</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5D5216">
        <w:tc>
          <w:tcPr>
            <w:tcW w:w="4785" w:type="dxa"/>
          </w:tcPr>
          <w:p w:rsidR="00031BB5" w:rsidRPr="00FA279B" w:rsidRDefault="00031BB5" w:rsidP="005D5216">
            <w:pPr>
              <w:jc w:val="center"/>
              <w:rPr>
                <w:b/>
                <w:bCs/>
                <w:sz w:val="26"/>
                <w:szCs w:val="26"/>
              </w:rPr>
            </w:pPr>
            <w:r w:rsidRPr="00FA279B">
              <w:rPr>
                <w:b/>
                <w:bCs/>
                <w:sz w:val="26"/>
                <w:szCs w:val="26"/>
              </w:rPr>
              <w:t>«Продавец»</w:t>
            </w:r>
          </w:p>
          <w:p w:rsidR="00031BB5" w:rsidRPr="00FA279B" w:rsidRDefault="00031BB5" w:rsidP="005D5216">
            <w:pPr>
              <w:jc w:val="center"/>
              <w:rPr>
                <w:sz w:val="26"/>
                <w:szCs w:val="26"/>
              </w:rPr>
            </w:pPr>
          </w:p>
        </w:tc>
        <w:tc>
          <w:tcPr>
            <w:tcW w:w="4962" w:type="dxa"/>
          </w:tcPr>
          <w:p w:rsidR="00031BB5" w:rsidRPr="00FA279B" w:rsidRDefault="00031BB5" w:rsidP="005D5216">
            <w:pPr>
              <w:jc w:val="center"/>
              <w:rPr>
                <w:sz w:val="26"/>
                <w:szCs w:val="26"/>
              </w:rPr>
            </w:pPr>
            <w:r w:rsidRPr="00FA279B">
              <w:rPr>
                <w:b/>
                <w:bCs/>
                <w:sz w:val="26"/>
                <w:szCs w:val="26"/>
              </w:rPr>
              <w:t>«Покупатель»</w:t>
            </w:r>
          </w:p>
        </w:tc>
      </w:tr>
      <w:tr w:rsidR="00031BB5" w:rsidRPr="00FA279B" w:rsidTr="005D5216">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5D5216">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ул.Советская, д.24</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л/счет 04693D23900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Наименование банка ОКЦ №5 УГУ Банка России//УФК по Челябинской области г.Челябинск </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5D5216">
            <w:pPr>
              <w:jc w:val="both"/>
              <w:rPr>
                <w:b/>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vMerge/>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576433"/>
    <w:rsid w:val="0000654A"/>
    <w:rsid w:val="00024E8A"/>
    <w:rsid w:val="00031BB5"/>
    <w:rsid w:val="00034721"/>
    <w:rsid w:val="00035FE2"/>
    <w:rsid w:val="00037D87"/>
    <w:rsid w:val="00042D57"/>
    <w:rsid w:val="00056F7D"/>
    <w:rsid w:val="0008133C"/>
    <w:rsid w:val="00085EB2"/>
    <w:rsid w:val="00094817"/>
    <w:rsid w:val="000E52A6"/>
    <w:rsid w:val="000F17CF"/>
    <w:rsid w:val="00117610"/>
    <w:rsid w:val="00123DC7"/>
    <w:rsid w:val="0013165E"/>
    <w:rsid w:val="001316AE"/>
    <w:rsid w:val="00156A20"/>
    <w:rsid w:val="001712E3"/>
    <w:rsid w:val="001A066F"/>
    <w:rsid w:val="001E5667"/>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81642"/>
    <w:rsid w:val="003860EE"/>
    <w:rsid w:val="003B3A53"/>
    <w:rsid w:val="003D2B93"/>
    <w:rsid w:val="003D728B"/>
    <w:rsid w:val="003E64C7"/>
    <w:rsid w:val="003F3313"/>
    <w:rsid w:val="003F6CA3"/>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5EC9"/>
    <w:rsid w:val="005B66C0"/>
    <w:rsid w:val="005D5216"/>
    <w:rsid w:val="005F3BDD"/>
    <w:rsid w:val="00607B16"/>
    <w:rsid w:val="00611E64"/>
    <w:rsid w:val="00630E72"/>
    <w:rsid w:val="006718E4"/>
    <w:rsid w:val="00691043"/>
    <w:rsid w:val="006D0D37"/>
    <w:rsid w:val="006D14B8"/>
    <w:rsid w:val="006D4D0B"/>
    <w:rsid w:val="006F0FBC"/>
    <w:rsid w:val="007006ED"/>
    <w:rsid w:val="00707B62"/>
    <w:rsid w:val="00735102"/>
    <w:rsid w:val="00742D11"/>
    <w:rsid w:val="00772E56"/>
    <w:rsid w:val="00775017"/>
    <w:rsid w:val="00775B01"/>
    <w:rsid w:val="00777BD2"/>
    <w:rsid w:val="00791851"/>
    <w:rsid w:val="00792E26"/>
    <w:rsid w:val="00796DE3"/>
    <w:rsid w:val="007B2A53"/>
    <w:rsid w:val="007B7EFF"/>
    <w:rsid w:val="007D09FD"/>
    <w:rsid w:val="007D0D97"/>
    <w:rsid w:val="007D563E"/>
    <w:rsid w:val="007F69BC"/>
    <w:rsid w:val="008456F7"/>
    <w:rsid w:val="00871F17"/>
    <w:rsid w:val="008767FA"/>
    <w:rsid w:val="00881A1B"/>
    <w:rsid w:val="008A202D"/>
    <w:rsid w:val="008A4072"/>
    <w:rsid w:val="008D39D8"/>
    <w:rsid w:val="008D5F74"/>
    <w:rsid w:val="008D6F9D"/>
    <w:rsid w:val="008D7EDD"/>
    <w:rsid w:val="008E1C96"/>
    <w:rsid w:val="009044F0"/>
    <w:rsid w:val="00925835"/>
    <w:rsid w:val="0092724A"/>
    <w:rsid w:val="009414EF"/>
    <w:rsid w:val="009446A7"/>
    <w:rsid w:val="00970CED"/>
    <w:rsid w:val="00981D0F"/>
    <w:rsid w:val="009866A9"/>
    <w:rsid w:val="009A2646"/>
    <w:rsid w:val="009A3D2B"/>
    <w:rsid w:val="009E3C22"/>
    <w:rsid w:val="009E5833"/>
    <w:rsid w:val="009F4324"/>
    <w:rsid w:val="009F56CA"/>
    <w:rsid w:val="00A01060"/>
    <w:rsid w:val="00A10580"/>
    <w:rsid w:val="00A24F81"/>
    <w:rsid w:val="00A5130F"/>
    <w:rsid w:val="00A6546F"/>
    <w:rsid w:val="00A66BE0"/>
    <w:rsid w:val="00A71F5A"/>
    <w:rsid w:val="00A75F85"/>
    <w:rsid w:val="00A93652"/>
    <w:rsid w:val="00A956FB"/>
    <w:rsid w:val="00AA4CA3"/>
    <w:rsid w:val="00AB079F"/>
    <w:rsid w:val="00AC484E"/>
    <w:rsid w:val="00AD694A"/>
    <w:rsid w:val="00B0519F"/>
    <w:rsid w:val="00B27BA0"/>
    <w:rsid w:val="00B33065"/>
    <w:rsid w:val="00B33739"/>
    <w:rsid w:val="00B408BF"/>
    <w:rsid w:val="00B54EC3"/>
    <w:rsid w:val="00B84249"/>
    <w:rsid w:val="00B84603"/>
    <w:rsid w:val="00B938F8"/>
    <w:rsid w:val="00BA0E41"/>
    <w:rsid w:val="00BA630F"/>
    <w:rsid w:val="00BA7B51"/>
    <w:rsid w:val="00BA7C23"/>
    <w:rsid w:val="00BB776E"/>
    <w:rsid w:val="00BC7806"/>
    <w:rsid w:val="00BD7AB9"/>
    <w:rsid w:val="00BE57A1"/>
    <w:rsid w:val="00C10150"/>
    <w:rsid w:val="00C11ADE"/>
    <w:rsid w:val="00C325ED"/>
    <w:rsid w:val="00C37BC0"/>
    <w:rsid w:val="00C461B7"/>
    <w:rsid w:val="00C55649"/>
    <w:rsid w:val="00C574F9"/>
    <w:rsid w:val="00C613F6"/>
    <w:rsid w:val="00C74700"/>
    <w:rsid w:val="00C9498C"/>
    <w:rsid w:val="00CA5D4C"/>
    <w:rsid w:val="00CA6AEC"/>
    <w:rsid w:val="00CB26C0"/>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F5A"/>
    <w:rsid w:val="00DB5DA6"/>
    <w:rsid w:val="00DC57A8"/>
    <w:rsid w:val="00E06000"/>
    <w:rsid w:val="00E226BA"/>
    <w:rsid w:val="00E22AA7"/>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338DC"/>
    <w:rsid w:val="00F5767A"/>
    <w:rsid w:val="00F763BF"/>
    <w:rsid w:val="00F87291"/>
    <w:rsid w:val="00FA279B"/>
    <w:rsid w:val="00FA2BB0"/>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E31E5-62EC-4D1D-A29E-79A2B060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17</Pages>
  <Words>5404</Words>
  <Characters>30805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134</cp:revision>
  <cp:lastPrinted>2026-05-19T06:37:00Z</cp:lastPrinted>
  <dcterms:created xsi:type="dcterms:W3CDTF">2026-03-26T07:57:00Z</dcterms:created>
  <dcterms:modified xsi:type="dcterms:W3CDTF">2026-05-22T11:03:00Z</dcterms:modified>
</cp:coreProperties>
</file>